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FD4" w:rsidRDefault="00400FD4" w:rsidP="00400FD4">
      <w:p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inline distT="0" distB="0" distL="0" distR="0">
            <wp:extent cx="6876415" cy="9463498"/>
            <wp:effectExtent l="19050" t="0" r="635" b="0"/>
            <wp:docPr id="1" name="Рисунок 1" descr="F:\школа\сайт\2021-01-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сайт\2021-01-16\001.jpg"/>
                    <pic:cNvPicPr>
                      <a:picLocks noChangeAspect="1" noChangeArrowheads="1"/>
                    </pic:cNvPicPr>
                  </pic:nvPicPr>
                  <pic:blipFill>
                    <a:blip r:embed="rId5"/>
                    <a:srcRect/>
                    <a:stretch>
                      <a:fillRect/>
                    </a:stretch>
                  </pic:blipFill>
                  <pic:spPr bwMode="auto">
                    <a:xfrm>
                      <a:off x="0" y="0"/>
                      <a:ext cx="6876415" cy="9463498"/>
                    </a:xfrm>
                    <a:prstGeom prst="rect">
                      <a:avLst/>
                    </a:prstGeom>
                    <a:noFill/>
                    <a:ln w="9525">
                      <a:noFill/>
                      <a:miter lim="800000"/>
                      <a:headEnd/>
                      <a:tailEnd/>
                    </a:ln>
                  </pic:spPr>
                </pic:pic>
              </a:graphicData>
            </a:graphic>
          </wp:inline>
        </w:drawing>
      </w:r>
    </w:p>
    <w:p w:rsidR="00400FD4" w:rsidRDefault="00400FD4"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400FD4" w:rsidRDefault="00400FD4"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400FD4" w:rsidRDefault="00400FD4"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400FD4" w:rsidRDefault="00400FD4"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2.1.8. Директор школы в пределах ФОТ самостоятельно устанавливает размеры повышающих коэффициентов к минимальным должностным окладам (ставкам заработной платы) по ПКГ для соответствующих квалификационных уровней с учетом требований к профессиональной подготовке и уровню квалификации, сложности и объема выполняемой работы.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2.1.9. Отнесение должностей работников школы к квалификационным уровням и группам определяется в соответствии с законодательством РФ.</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2.1.10. Компенсационные и стимулирующие выплаты </w:t>
      </w:r>
      <w:r w:rsidR="00400FD4">
        <w:rPr>
          <w:rFonts w:ascii="Times New Roman" w:eastAsiaTheme="minorHAnsi" w:hAnsi="Times New Roman" w:cs="Times New Roman"/>
          <w:sz w:val="24"/>
          <w:szCs w:val="24"/>
          <w:lang w:eastAsia="en-US"/>
        </w:rPr>
        <w:t>устанавливаются</w:t>
      </w:r>
      <w:r>
        <w:rPr>
          <w:rFonts w:ascii="Times New Roman" w:eastAsiaTheme="minorHAnsi" w:hAnsi="Times New Roman" w:cs="Times New Roman"/>
          <w:sz w:val="24"/>
          <w:szCs w:val="24"/>
          <w:lang w:eastAsia="en-US"/>
        </w:rPr>
        <w:t xml:space="preserve"> на срок до одного года.</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 xml:space="preserve">2. Компенсационные выплаты </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2.2.1. Выплаты компенсационного характера устанавливаются в процентах к должностным окладам (ставкам заработной платы), или долях должностного оклада по соответствующим квалификационным уровням ПКГ,  или в абсолютных размерах, если иное не установлено федеральными законами или указами Президента Российской Федерации.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2.2.2. В школе устанавливаются следующие виды компенсационных выплат: </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выплаты работникам, занятым на тяжелых работах, работах с вредными и (или) опасными и иными особыми условиями труда; </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выплаты за работу в местностях с особыми климатическими условиями; </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2.2.3.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 </w:t>
      </w:r>
    </w:p>
    <w:p w:rsidR="0075728C" w:rsidRDefault="0075728C" w:rsidP="0075728C">
      <w:pPr>
        <w:autoSpaceDE w:val="0"/>
        <w:autoSpaceDN w:val="0"/>
        <w:adjustRightInd w:val="0"/>
        <w:spacing w:line="240" w:lineRule="auto"/>
        <w:ind w:firstLine="735"/>
        <w:jc w:val="both"/>
        <w:rPr>
          <w:rFonts w:ascii="Arial" w:eastAsiaTheme="minorHAnsi" w:hAnsi="Arial" w:cs="Arial"/>
          <w:b/>
          <w:bCs/>
          <w:color w:val="000000"/>
          <w:sz w:val="28"/>
          <w:szCs w:val="28"/>
          <w:lang w:eastAsia="en-US"/>
        </w:rPr>
      </w:pPr>
      <w:r>
        <w:rPr>
          <w:rFonts w:ascii="Times New Roman" w:eastAsiaTheme="minorHAnsi" w:hAnsi="Times New Roman" w:cs="Times New Roman"/>
          <w:sz w:val="24"/>
          <w:szCs w:val="24"/>
          <w:lang w:eastAsia="en-US"/>
        </w:rPr>
        <w:t>2.2.4. Аттестация рабочих мест по условиям труда проводится в порядке, установленном Приказом министерства здравоохранения и социального развития РФ от 26  апреля 2011 г. № 342н «Об утверждении порядка проведения аттестации рабочих мест по условиям труда».</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75728C" w:rsidRDefault="0075728C" w:rsidP="0075728C">
      <w:pPr>
        <w:autoSpaceDE w:val="0"/>
        <w:autoSpaceDN w:val="0"/>
        <w:adjustRightInd w:val="0"/>
        <w:spacing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 xml:space="preserve">3. Стимулирующие выплаты </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2.3.1. В школе устанавливаются следующие виды выплат стимулирующего характера:</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выплаты за интенсивность и высокие результаты работы; </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выплаты за качество выполняемых работ; </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за стаж непрерывной работы, выслугу лет;</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за квалификацию;</w:t>
      </w:r>
    </w:p>
    <w:p w:rsidR="0075728C" w:rsidRDefault="0075728C" w:rsidP="0075728C">
      <w:pPr>
        <w:numPr>
          <w:ilvl w:val="0"/>
          <w:numId w:val="15"/>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за наличие почетных и отраслевых званий;</w:t>
      </w:r>
    </w:p>
    <w:p w:rsidR="0075728C" w:rsidRDefault="0075728C" w:rsidP="0075728C">
      <w:pPr>
        <w:numPr>
          <w:ilvl w:val="0"/>
          <w:numId w:val="15"/>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за наличие ученых степеней и званий;</w:t>
      </w:r>
    </w:p>
    <w:p w:rsidR="0075728C" w:rsidRDefault="0075728C" w:rsidP="0075728C">
      <w:pPr>
        <w:numPr>
          <w:ilvl w:val="0"/>
          <w:numId w:val="15"/>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выплаты некурящим работникам;</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премиальные выплаты по итогам работы.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2.3.2. Конкретные размеры стимулирующих выплат максимальными размерами не ограничены и устанавливаются в соответствии с «Критериями оценки деятельности работников школы».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2.3.3. Размеры стимулирующих выплат устанавливаются либо в  процентном отношении к должностным окладам (ставкам заработной платы) по соответствующим квалификационным уровням ПКГ, либо в абсолютных размерах.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2.3.4. Выплаты стимулирующего характера работникам школы производятся на основании представления их непосредственных руководителей, по решению директора школы  в пределах ФОТ, а также за счет дополнительных финансовых средств (от предпринимательской и иной приносящей доход деятельности,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направленных школой на оплату труда работников.</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2.3.5. Стимулирующие выплаты могут устанавливаться по результатам конкретной работы (разовые), а также на определенный период (постоянные), но не более чем на один учебный год.</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2.3.6. Изменение размеров стимулирующих выплат производится на основании Приказа директора:</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увеличении стажа педагогической работы, стажа работы по специальности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достижения соответствующего стажа, если документы находятся в учреждении, или со </w:t>
      </w:r>
      <w:r>
        <w:rPr>
          <w:rFonts w:ascii="Times New Roman" w:eastAsiaTheme="minorHAnsi" w:hAnsi="Times New Roman" w:cs="Times New Roman"/>
          <w:sz w:val="24"/>
          <w:szCs w:val="24"/>
          <w:lang w:eastAsia="en-US"/>
        </w:rPr>
        <w:lastRenderedPageBreak/>
        <w:t>дня представления документа о стаже, дающем право на повышение размера стимулирующих выплат;</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получении образования или восстановлении документов об образовании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представления соответствующего документа;</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присвоении квалификационной категории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вынесения решения аттестационной комиссией;</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присвоении почетного звания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присвоения;</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присуждении ученой степени кандидата наук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вынесения Высшей аттестационной комиссией (ВАК) решения о выдаче диплома;</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при присуждении ученой степени доктора наук </w:t>
      </w:r>
      <w:r>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со дня присуждения Высшей аттестационной комиссией (ВАК) ученой степени доктора наук.</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2.3.7. При наступлении у работника права на изменение размера стимулирующих выплат в период пребывания его в ежегодном или другом отпуске, а также в период его временной нетрудоспособности выплата заработной платы, исходя из измененного размера стимулирующих выплат, производится со дня окончания отпуска или временной нетрудоспособности.</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III. Условия оплаты труда директора школы, его заместителей и главного бухгалтера </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3.1. Заработная плата директора школы его заместителей и главного бухгалтера состоит из должностных окладов, выплат компенсационного и стимулирующего характера.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3.2. Должностной оклад директора школы, определяемый трудовым договором, устанавливается в размере 3 средних заработных плат работников, которые относятся к основному персоналу школы.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3.3.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школы независимо от финансовых источников, за счет которых осуществляются данные выплаты. Расчет средней заработной платы работников основного персонала осуществляется за календарный год, предшествующий году установления должностного оклада директору школы. При расчете средней заработной платы работников основного персонала не учитываются выплаты компенсационного характера.</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3.4. К основному персоналу школы относятся работники, непосредственно обеспечивающие выполнение основных функций, для реализации которых создано учреждение (учителя, педагоги дополнительного образования, воспитатели (ГПД) и т.п.).</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3.5. Перечни должностей и профессий работников учреждений, которые относятся к основному персоналу по видам экономической деятельности,</w:t>
      </w:r>
      <w:r w:rsidR="00400FD4">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 xml:space="preserve">устанавливаются </w:t>
      </w:r>
      <w:proofErr w:type="spellStart"/>
      <w:r>
        <w:rPr>
          <w:rFonts w:ascii="Times New Roman" w:eastAsiaTheme="minorHAnsi" w:hAnsi="Times New Roman" w:cs="Times New Roman"/>
          <w:sz w:val="24"/>
          <w:szCs w:val="24"/>
          <w:lang w:eastAsia="en-US"/>
        </w:rPr>
        <w:t>Рособразованием</w:t>
      </w:r>
      <w:proofErr w:type="spellEnd"/>
      <w:r>
        <w:rPr>
          <w:rFonts w:ascii="Times New Roman" w:eastAsiaTheme="minorHAnsi" w:hAnsi="Times New Roman" w:cs="Times New Roman"/>
          <w:sz w:val="24"/>
          <w:szCs w:val="24"/>
          <w:lang w:eastAsia="en-US"/>
        </w:rPr>
        <w:t xml:space="preserve"> по согласованию с Министерством труда РФ.</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3.6. Должностной оклад главного бухгалтера устанавливается на 10 % ниже должностного оклада директора школы.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3.7. Должностные оклады заместителей директора (кроме заместителя директора по административно-хозяйственной работе) устанавливается на 15 % ниже должностного оклада директора школы.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3.8. Должностной оклад заместителя директора по административно-хозяйственной работе устанавливается на 20 % ниже должностного оклада директора школы.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3.9. Выплаты компенсационного характера директору школы, его заместителям и главному бухгалтеру устанавливаются в соответствии с настоящим Положением в процентах к должностным окладам или в абсолютных размерах, если иное не установлено федеральными законами или указами Президента Российской Федерации.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3.10. Выплаты стимулирующего характера директору школы устанавливаются соответствующим органом управления образования.</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3.11. Размеры, порядок и процедура установления стимулирующих выплат директору школы определяется соответствующим органом управления образованием.</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IV. Другие вопросы оплаты труда </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4.1. Индивидуальное штатное расписание ежегодно утверждается директором школы в пределах соответствующей части ФОТ.</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4.2. В индивидуальное штатное расписание включаются должности педагогического, административно-хозяйственного, учебно-вспомогательного, инженерно-технического и младшего обслуживающего персонала.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4.2. Индивидуальное штатное расписание включает в себя все должности служащих (профессии рабочих), имеющиеся в конкретной школе.</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4.3. Численный состав работников школы должен быть достаточным для гарантированного выполнения функций, задач и объемов работ, установленных учредителем.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4.4. Особенности оплаты труда в школе: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4.4.1. Оплата труда учителей (педагогов дополнительного образования, воспитателей (ГПД) устанавливается исходя из тарифицируемой педагогической нагрузки. </w:t>
      </w:r>
    </w:p>
    <w:p w:rsidR="0075728C" w:rsidRDefault="0075728C" w:rsidP="0075728C">
      <w:pPr>
        <w:autoSpaceDE w:val="0"/>
        <w:autoSpaceDN w:val="0"/>
        <w:adjustRightInd w:val="0"/>
        <w:spacing w:line="240" w:lineRule="auto"/>
        <w:ind w:firstLine="735"/>
        <w:jc w:val="both"/>
        <w:rPr>
          <w:rFonts w:ascii="Arial" w:eastAsiaTheme="minorHAnsi" w:hAnsi="Arial" w:cs="Arial"/>
          <w:b/>
          <w:bCs/>
          <w:color w:val="000000"/>
          <w:sz w:val="28"/>
          <w:szCs w:val="28"/>
          <w:lang w:eastAsia="en-US"/>
        </w:rPr>
      </w:pPr>
      <w:r>
        <w:rPr>
          <w:rFonts w:ascii="Times New Roman" w:eastAsiaTheme="minorHAnsi" w:hAnsi="Times New Roman" w:cs="Times New Roman"/>
          <w:sz w:val="24"/>
          <w:szCs w:val="24"/>
          <w:lang w:eastAsia="en-US"/>
        </w:rPr>
        <w:t xml:space="preserve">4.4.2. Норма часов преподавательской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РФ </w:t>
      </w:r>
      <w:r>
        <w:rPr>
          <w:rFonts w:ascii="Times New Roman" w:eastAsiaTheme="minorHAnsi" w:hAnsi="Times New Roman" w:cs="Times New Roman"/>
          <w:color w:val="FF0000"/>
          <w:sz w:val="24"/>
          <w:szCs w:val="24"/>
          <w:lang w:eastAsia="en-US"/>
        </w:rPr>
        <w:t>от 24.12.2010 г. № 2075</w:t>
      </w:r>
      <w:r>
        <w:rPr>
          <w:rFonts w:ascii="Times New Roman" w:eastAsiaTheme="minorHAnsi" w:hAnsi="Times New Roman" w:cs="Times New Roman"/>
          <w:sz w:val="24"/>
          <w:szCs w:val="24"/>
          <w:lang w:eastAsia="en-US"/>
        </w:rPr>
        <w:t xml:space="preserve"> «О продолжительности рабочего времени (норме часов педагогической работы за ставку заработной платы) педагогических работников».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4.4.3. Тарификационный список учителей, педагогов дополнительного образования, воспитателей (ГПД)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индивидуальному учебному плану и программам, из обеспеченности кадрами в школе и устанавливает объем учебной нагрузки педагогических работников на учебный год.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4.4.4. При оплате за часы, данные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менее двух месяцев, а также при оплате за педагогическую работу специалистов предприятий, учреждений и организаций (в т.ч. из числа работников органов управления образованием, методических и учебно-методических кабинетов), привлекаемых для педагогической работы в школе, используется почасовая система оплаты труда. В этом случае оплата производится только за фактически проведенные занятия. Если замещение отсутствующего работника осуществлялось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недельной учебной нагрузки (объема педагогической работы).</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4.4.5. Размеры ставок почасовой оплаты труда педагогических работников школы устанавливаются путем деления их месячной ставки заработной платы на 72 часа.</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4.4.6. Размеры ставок почасовой оплаты труда отдельных специалистов, специалистов предприятий, учреждений и организаций (в том числе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 а также участвующих в проведении учебных занятий, устанавливаются путем умножения минимальной оплаты труда на соответствующий коэффициент:</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0,2 для профессора (доктора наук);</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0,15 для доцента (кандидата наук);</w:t>
      </w:r>
    </w:p>
    <w:p w:rsidR="0075728C" w:rsidRDefault="0075728C" w:rsidP="0075728C">
      <w:pPr>
        <w:numPr>
          <w:ilvl w:val="0"/>
          <w:numId w:val="14"/>
        </w:numPr>
        <w:autoSpaceDE w:val="0"/>
        <w:autoSpaceDN w:val="0"/>
        <w:adjustRightInd w:val="0"/>
        <w:spacing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0,1 для лиц, не имеющих ученого звания (ученой степени).</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jc w:val="center"/>
        <w:rPr>
          <w:rFonts w:ascii="Times New Roman" w:eastAsiaTheme="minorHAnsi" w:hAnsi="Times New Roman" w:cs="Times New Roman"/>
          <w:b/>
          <w:bCs/>
          <w:sz w:val="28"/>
          <w:szCs w:val="28"/>
          <w:lang w:eastAsia="en-US"/>
        </w:rPr>
      </w:pPr>
      <w:r>
        <w:rPr>
          <w:rFonts w:ascii="Times New Roman" w:eastAsiaTheme="minorHAnsi" w:hAnsi="Times New Roman" w:cs="Times New Roman"/>
          <w:b/>
          <w:bCs/>
          <w:sz w:val="28"/>
          <w:szCs w:val="28"/>
          <w:lang w:eastAsia="en-US"/>
        </w:rPr>
        <w:t xml:space="preserve">V. Заключительные положения </w:t>
      </w:r>
    </w:p>
    <w:p w:rsidR="0075728C" w:rsidRDefault="0075728C" w:rsidP="0075728C">
      <w:pPr>
        <w:autoSpaceDE w:val="0"/>
        <w:autoSpaceDN w:val="0"/>
        <w:adjustRightInd w:val="0"/>
        <w:spacing w:line="240" w:lineRule="auto"/>
        <w:ind w:firstLine="300"/>
        <w:jc w:val="both"/>
        <w:rPr>
          <w:rFonts w:ascii="Arial" w:eastAsiaTheme="minorHAnsi" w:hAnsi="Arial" w:cs="Arial"/>
          <w:color w:val="000000"/>
          <w:sz w:val="24"/>
          <w:szCs w:val="24"/>
          <w:lang w:eastAsia="en-US"/>
        </w:rPr>
      </w:pP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5.1. Оплата труда медицинских, библиотечных и других работников, не относящихся к работникам образования, осуществляется в школе применительно к ПКГ и квалификационным уровням аналогичных категорий работников по видам экономической деятельности. </w:t>
      </w:r>
    </w:p>
    <w:p w:rsidR="0075728C" w:rsidRDefault="0075728C" w:rsidP="0075728C">
      <w:pPr>
        <w:autoSpaceDE w:val="0"/>
        <w:autoSpaceDN w:val="0"/>
        <w:adjustRightInd w:val="0"/>
        <w:spacing w:line="240" w:lineRule="auto"/>
        <w:ind w:firstLine="735"/>
        <w:jc w:val="both"/>
        <w:rPr>
          <w:rFonts w:ascii="Times New Roman" w:eastAsiaTheme="minorHAnsi" w:hAnsi="Times New Roman" w:cs="Times New Roman"/>
          <w:sz w:val="24"/>
          <w:szCs w:val="24"/>
          <w:lang w:eastAsia="en-US"/>
        </w:rPr>
      </w:pPr>
    </w:p>
    <w:p w:rsidR="00815CFD" w:rsidRPr="0075728C" w:rsidRDefault="00815CFD" w:rsidP="004B583E">
      <w:pPr>
        <w:shd w:val="clear" w:color="auto" w:fill="FFFFFF"/>
        <w:spacing w:after="150" w:line="240" w:lineRule="auto"/>
        <w:jc w:val="center"/>
        <w:rPr>
          <w:rFonts w:ascii="Arial" w:eastAsia="Times New Roman" w:hAnsi="Arial" w:cs="Arial"/>
          <w:color w:val="000000"/>
          <w:sz w:val="21"/>
          <w:szCs w:val="21"/>
          <w:lang/>
        </w:rPr>
      </w:pPr>
    </w:p>
    <w:p w:rsidR="00815CFD" w:rsidRDefault="00815CFD" w:rsidP="004B583E">
      <w:pPr>
        <w:shd w:val="clear" w:color="auto" w:fill="FFFFFF"/>
        <w:spacing w:after="150" w:line="240" w:lineRule="auto"/>
        <w:jc w:val="center"/>
        <w:rPr>
          <w:rFonts w:ascii="Arial" w:eastAsia="Times New Roman" w:hAnsi="Arial" w:cs="Arial"/>
          <w:color w:val="000000"/>
          <w:sz w:val="21"/>
          <w:szCs w:val="21"/>
        </w:rPr>
      </w:pPr>
    </w:p>
    <w:p w:rsidR="0009591E" w:rsidRPr="00443E79" w:rsidRDefault="0009591E" w:rsidP="003835CE"/>
    <w:sectPr w:rsidR="0009591E" w:rsidRPr="00443E79" w:rsidSect="00400FD4">
      <w:pgSz w:w="11906" w:h="16838"/>
      <w:pgMar w:top="284" w:right="510" w:bottom="17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6FB8"/>
    <w:multiLevelType w:val="multilevel"/>
    <w:tmpl w:val="8FC0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C4F77"/>
    <w:multiLevelType w:val="multilevel"/>
    <w:tmpl w:val="80CED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37774A"/>
    <w:multiLevelType w:val="multilevel"/>
    <w:tmpl w:val="6C98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B6250"/>
    <w:multiLevelType w:val="multilevel"/>
    <w:tmpl w:val="598A0E75"/>
    <w:lvl w:ilvl="0">
      <w:numFmt w:val="bullet"/>
      <w:lvlText w:val="·"/>
      <w:lvlJc w:val="left"/>
      <w:pPr>
        <w:tabs>
          <w:tab w:val="num" w:pos="1455"/>
        </w:tabs>
        <w:ind w:left="1455" w:hanging="360"/>
      </w:pPr>
      <w:rPr>
        <w:rFonts w:ascii="Symbol" w:hAnsi="Symbol" w:cs="Symbol"/>
        <w:sz w:val="24"/>
        <w:szCs w:val="24"/>
      </w:rPr>
    </w:lvl>
    <w:lvl w:ilvl="1">
      <w:numFmt w:val="bullet"/>
      <w:lvlText w:val="o"/>
      <w:lvlJc w:val="left"/>
      <w:pPr>
        <w:tabs>
          <w:tab w:val="num" w:pos="2175"/>
        </w:tabs>
        <w:ind w:left="2175" w:hanging="360"/>
      </w:pPr>
      <w:rPr>
        <w:rFonts w:ascii="Courier New" w:hAnsi="Courier New" w:cs="Courier New"/>
        <w:sz w:val="24"/>
        <w:szCs w:val="24"/>
      </w:rPr>
    </w:lvl>
    <w:lvl w:ilvl="2">
      <w:numFmt w:val="bullet"/>
      <w:lvlText w:val="§"/>
      <w:lvlJc w:val="left"/>
      <w:pPr>
        <w:tabs>
          <w:tab w:val="num" w:pos="2895"/>
        </w:tabs>
        <w:ind w:left="2895" w:hanging="360"/>
      </w:pPr>
      <w:rPr>
        <w:rFonts w:ascii="Wingdings" w:hAnsi="Wingdings" w:cs="Wingdings"/>
        <w:sz w:val="24"/>
        <w:szCs w:val="24"/>
      </w:rPr>
    </w:lvl>
    <w:lvl w:ilvl="3">
      <w:numFmt w:val="bullet"/>
      <w:lvlText w:val="·"/>
      <w:lvlJc w:val="left"/>
      <w:pPr>
        <w:tabs>
          <w:tab w:val="num" w:pos="3615"/>
        </w:tabs>
        <w:ind w:left="3615" w:hanging="360"/>
      </w:pPr>
      <w:rPr>
        <w:rFonts w:ascii="Symbol" w:hAnsi="Symbol" w:cs="Symbol"/>
        <w:sz w:val="24"/>
        <w:szCs w:val="24"/>
      </w:rPr>
    </w:lvl>
    <w:lvl w:ilvl="4">
      <w:numFmt w:val="bullet"/>
      <w:lvlText w:val="o"/>
      <w:lvlJc w:val="left"/>
      <w:pPr>
        <w:tabs>
          <w:tab w:val="num" w:pos="4335"/>
        </w:tabs>
        <w:ind w:left="4335" w:hanging="360"/>
      </w:pPr>
      <w:rPr>
        <w:rFonts w:ascii="Courier New" w:hAnsi="Courier New" w:cs="Courier New"/>
        <w:sz w:val="24"/>
        <w:szCs w:val="24"/>
      </w:rPr>
    </w:lvl>
    <w:lvl w:ilvl="5">
      <w:numFmt w:val="bullet"/>
      <w:lvlText w:val="§"/>
      <w:lvlJc w:val="left"/>
      <w:pPr>
        <w:tabs>
          <w:tab w:val="num" w:pos="5055"/>
        </w:tabs>
        <w:ind w:left="5055" w:hanging="360"/>
      </w:pPr>
      <w:rPr>
        <w:rFonts w:ascii="Wingdings" w:hAnsi="Wingdings" w:cs="Wingdings"/>
        <w:sz w:val="24"/>
        <w:szCs w:val="24"/>
      </w:rPr>
    </w:lvl>
    <w:lvl w:ilvl="6">
      <w:numFmt w:val="bullet"/>
      <w:lvlText w:val="·"/>
      <w:lvlJc w:val="left"/>
      <w:pPr>
        <w:tabs>
          <w:tab w:val="num" w:pos="5775"/>
        </w:tabs>
        <w:ind w:left="5775" w:hanging="360"/>
      </w:pPr>
      <w:rPr>
        <w:rFonts w:ascii="Symbol" w:hAnsi="Symbol" w:cs="Symbol"/>
        <w:sz w:val="24"/>
        <w:szCs w:val="24"/>
      </w:rPr>
    </w:lvl>
    <w:lvl w:ilvl="7">
      <w:numFmt w:val="bullet"/>
      <w:lvlText w:val="o"/>
      <w:lvlJc w:val="left"/>
      <w:pPr>
        <w:tabs>
          <w:tab w:val="num" w:pos="6495"/>
        </w:tabs>
        <w:ind w:left="6495" w:hanging="360"/>
      </w:pPr>
      <w:rPr>
        <w:rFonts w:ascii="Courier New" w:hAnsi="Courier New" w:cs="Courier New"/>
        <w:sz w:val="24"/>
        <w:szCs w:val="24"/>
      </w:rPr>
    </w:lvl>
    <w:lvl w:ilvl="8">
      <w:numFmt w:val="bullet"/>
      <w:lvlText w:val="§"/>
      <w:lvlJc w:val="left"/>
      <w:pPr>
        <w:tabs>
          <w:tab w:val="num" w:pos="7215"/>
        </w:tabs>
        <w:ind w:left="7215" w:hanging="360"/>
      </w:pPr>
      <w:rPr>
        <w:rFonts w:ascii="Wingdings" w:hAnsi="Wingdings" w:cs="Wingdings"/>
        <w:sz w:val="24"/>
        <w:szCs w:val="24"/>
      </w:rPr>
    </w:lvl>
  </w:abstractNum>
  <w:abstractNum w:abstractNumId="4">
    <w:nsid w:val="1C3D0A57"/>
    <w:multiLevelType w:val="multilevel"/>
    <w:tmpl w:val="97C8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534FB"/>
    <w:multiLevelType w:val="multilevel"/>
    <w:tmpl w:val="7D721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07462"/>
    <w:multiLevelType w:val="multilevel"/>
    <w:tmpl w:val="40CE9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796A8A"/>
    <w:multiLevelType w:val="multilevel"/>
    <w:tmpl w:val="EAB0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147FB0"/>
    <w:multiLevelType w:val="multilevel"/>
    <w:tmpl w:val="A8FC6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D0A6364"/>
    <w:multiLevelType w:val="hybridMultilevel"/>
    <w:tmpl w:val="DAA2063E"/>
    <w:lvl w:ilvl="0" w:tplc="1206F112">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F57A90"/>
    <w:multiLevelType w:val="multilevel"/>
    <w:tmpl w:val="8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1B52D5"/>
    <w:multiLevelType w:val="multilevel"/>
    <w:tmpl w:val="E1D4F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4450648"/>
    <w:multiLevelType w:val="multilevel"/>
    <w:tmpl w:val="45867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4C283EB"/>
    <w:multiLevelType w:val="multilevel"/>
    <w:tmpl w:val="2B82AF95"/>
    <w:lvl w:ilvl="0">
      <w:numFmt w:val="bullet"/>
      <w:lvlText w:val="·"/>
      <w:lvlJc w:val="left"/>
      <w:pPr>
        <w:tabs>
          <w:tab w:val="num" w:pos="1455"/>
        </w:tabs>
        <w:ind w:left="1455" w:hanging="360"/>
      </w:pPr>
      <w:rPr>
        <w:rFonts w:ascii="Symbol" w:hAnsi="Symbol" w:cs="Symbol"/>
        <w:sz w:val="24"/>
        <w:szCs w:val="24"/>
      </w:rPr>
    </w:lvl>
    <w:lvl w:ilvl="1">
      <w:numFmt w:val="bullet"/>
      <w:lvlText w:val="o"/>
      <w:lvlJc w:val="left"/>
      <w:pPr>
        <w:tabs>
          <w:tab w:val="num" w:pos="2175"/>
        </w:tabs>
        <w:ind w:left="2175" w:hanging="360"/>
      </w:pPr>
      <w:rPr>
        <w:rFonts w:ascii="Courier New" w:hAnsi="Courier New" w:cs="Courier New"/>
        <w:sz w:val="24"/>
        <w:szCs w:val="24"/>
      </w:rPr>
    </w:lvl>
    <w:lvl w:ilvl="2">
      <w:numFmt w:val="bullet"/>
      <w:lvlText w:val="§"/>
      <w:lvlJc w:val="left"/>
      <w:pPr>
        <w:tabs>
          <w:tab w:val="num" w:pos="2895"/>
        </w:tabs>
        <w:ind w:left="2895" w:hanging="360"/>
      </w:pPr>
      <w:rPr>
        <w:rFonts w:ascii="Wingdings" w:hAnsi="Wingdings" w:cs="Wingdings"/>
        <w:sz w:val="24"/>
        <w:szCs w:val="24"/>
      </w:rPr>
    </w:lvl>
    <w:lvl w:ilvl="3">
      <w:numFmt w:val="bullet"/>
      <w:lvlText w:val="·"/>
      <w:lvlJc w:val="left"/>
      <w:pPr>
        <w:tabs>
          <w:tab w:val="num" w:pos="3615"/>
        </w:tabs>
        <w:ind w:left="3615" w:hanging="360"/>
      </w:pPr>
      <w:rPr>
        <w:rFonts w:ascii="Symbol" w:hAnsi="Symbol" w:cs="Symbol"/>
        <w:sz w:val="24"/>
        <w:szCs w:val="24"/>
      </w:rPr>
    </w:lvl>
    <w:lvl w:ilvl="4">
      <w:numFmt w:val="bullet"/>
      <w:lvlText w:val="o"/>
      <w:lvlJc w:val="left"/>
      <w:pPr>
        <w:tabs>
          <w:tab w:val="num" w:pos="4335"/>
        </w:tabs>
        <w:ind w:left="4335" w:hanging="360"/>
      </w:pPr>
      <w:rPr>
        <w:rFonts w:ascii="Courier New" w:hAnsi="Courier New" w:cs="Courier New"/>
        <w:sz w:val="24"/>
        <w:szCs w:val="24"/>
      </w:rPr>
    </w:lvl>
    <w:lvl w:ilvl="5">
      <w:numFmt w:val="bullet"/>
      <w:lvlText w:val="§"/>
      <w:lvlJc w:val="left"/>
      <w:pPr>
        <w:tabs>
          <w:tab w:val="num" w:pos="5055"/>
        </w:tabs>
        <w:ind w:left="5055" w:hanging="360"/>
      </w:pPr>
      <w:rPr>
        <w:rFonts w:ascii="Wingdings" w:hAnsi="Wingdings" w:cs="Wingdings"/>
        <w:sz w:val="24"/>
        <w:szCs w:val="24"/>
      </w:rPr>
    </w:lvl>
    <w:lvl w:ilvl="6">
      <w:numFmt w:val="bullet"/>
      <w:lvlText w:val="·"/>
      <w:lvlJc w:val="left"/>
      <w:pPr>
        <w:tabs>
          <w:tab w:val="num" w:pos="5775"/>
        </w:tabs>
        <w:ind w:left="5775" w:hanging="360"/>
      </w:pPr>
      <w:rPr>
        <w:rFonts w:ascii="Symbol" w:hAnsi="Symbol" w:cs="Symbol"/>
        <w:sz w:val="24"/>
        <w:szCs w:val="24"/>
      </w:rPr>
    </w:lvl>
    <w:lvl w:ilvl="7">
      <w:numFmt w:val="bullet"/>
      <w:lvlText w:val="o"/>
      <w:lvlJc w:val="left"/>
      <w:pPr>
        <w:tabs>
          <w:tab w:val="num" w:pos="6495"/>
        </w:tabs>
        <w:ind w:left="6495" w:hanging="360"/>
      </w:pPr>
      <w:rPr>
        <w:rFonts w:ascii="Courier New" w:hAnsi="Courier New" w:cs="Courier New"/>
        <w:sz w:val="24"/>
        <w:szCs w:val="24"/>
      </w:rPr>
    </w:lvl>
    <w:lvl w:ilvl="8">
      <w:numFmt w:val="bullet"/>
      <w:lvlText w:val="§"/>
      <w:lvlJc w:val="left"/>
      <w:pPr>
        <w:tabs>
          <w:tab w:val="num" w:pos="7215"/>
        </w:tabs>
        <w:ind w:left="7215" w:hanging="360"/>
      </w:pPr>
      <w:rPr>
        <w:rFonts w:ascii="Wingdings" w:hAnsi="Wingdings" w:cs="Wingdings"/>
        <w:sz w:val="24"/>
        <w:szCs w:val="24"/>
      </w:rPr>
    </w:lvl>
  </w:abstractNum>
  <w:abstractNum w:abstractNumId="14">
    <w:nsid w:val="7BB05ED4"/>
    <w:multiLevelType w:val="multilevel"/>
    <w:tmpl w:val="58B4427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9"/>
  </w:num>
  <w:num w:numId="3">
    <w:abstractNumId w:val="5"/>
  </w:num>
  <w:num w:numId="4">
    <w:abstractNumId w:val="8"/>
  </w:num>
  <w:num w:numId="5">
    <w:abstractNumId w:val="1"/>
  </w:num>
  <w:num w:numId="6">
    <w:abstractNumId w:val="6"/>
  </w:num>
  <w:num w:numId="7">
    <w:abstractNumId w:val="11"/>
  </w:num>
  <w:num w:numId="8">
    <w:abstractNumId w:val="12"/>
  </w:num>
  <w:num w:numId="9">
    <w:abstractNumId w:val="2"/>
  </w:num>
  <w:num w:numId="10">
    <w:abstractNumId w:val="10"/>
  </w:num>
  <w:num w:numId="11">
    <w:abstractNumId w:val="0"/>
  </w:num>
  <w:num w:numId="12">
    <w:abstractNumId w:val="7"/>
  </w:num>
  <w:num w:numId="13">
    <w:abstractNumId w:val="4"/>
  </w:num>
  <w:num w:numId="14">
    <w:abstractNumId w:val="3"/>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C2DB2"/>
    <w:rsid w:val="00031284"/>
    <w:rsid w:val="0009591E"/>
    <w:rsid w:val="00210F31"/>
    <w:rsid w:val="003258AB"/>
    <w:rsid w:val="003835CE"/>
    <w:rsid w:val="00400FD4"/>
    <w:rsid w:val="00443E79"/>
    <w:rsid w:val="004B583E"/>
    <w:rsid w:val="004E7AC3"/>
    <w:rsid w:val="005508A5"/>
    <w:rsid w:val="005C000D"/>
    <w:rsid w:val="00711D27"/>
    <w:rsid w:val="00721C43"/>
    <w:rsid w:val="0075728C"/>
    <w:rsid w:val="00765605"/>
    <w:rsid w:val="00780722"/>
    <w:rsid w:val="00815CFD"/>
    <w:rsid w:val="00830492"/>
    <w:rsid w:val="00912FC9"/>
    <w:rsid w:val="00931870"/>
    <w:rsid w:val="00936DF9"/>
    <w:rsid w:val="00942553"/>
    <w:rsid w:val="009627DF"/>
    <w:rsid w:val="00BA7363"/>
    <w:rsid w:val="00CB0EDD"/>
    <w:rsid w:val="00D323D8"/>
    <w:rsid w:val="00D90E24"/>
    <w:rsid w:val="00E274B4"/>
    <w:rsid w:val="00EC2DB2"/>
    <w:rsid w:val="00F944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63"/>
    <w:pPr>
      <w:spacing w:after="0" w:line="360"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
    <w:basedOn w:val="a0"/>
    <w:rsid w:val="00D90E2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styleId="a3">
    <w:name w:val="List Paragraph"/>
    <w:basedOn w:val="a"/>
    <w:uiPriority w:val="34"/>
    <w:qFormat/>
    <w:rsid w:val="00D90E24"/>
    <w:pPr>
      <w:ind w:left="720"/>
      <w:contextualSpacing/>
    </w:pPr>
  </w:style>
  <w:style w:type="paragraph" w:styleId="a4">
    <w:name w:val="Normal (Web)"/>
    <w:basedOn w:val="a"/>
    <w:uiPriority w:val="99"/>
    <w:semiHidden/>
    <w:unhideWhenUsed/>
    <w:rsid w:val="005508A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3835CE"/>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835CE"/>
    <w:rPr>
      <w:rFonts w:ascii="Segoe UI" w:eastAsiaTheme="minorEastAsia"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823012782">
      <w:bodyDiv w:val="1"/>
      <w:marLeft w:val="0"/>
      <w:marRight w:val="0"/>
      <w:marTop w:val="0"/>
      <w:marBottom w:val="0"/>
      <w:divBdr>
        <w:top w:val="none" w:sz="0" w:space="0" w:color="auto"/>
        <w:left w:val="none" w:sz="0" w:space="0" w:color="auto"/>
        <w:bottom w:val="none" w:sz="0" w:space="0" w:color="auto"/>
        <w:right w:val="none" w:sz="0" w:space="0" w:color="auto"/>
      </w:divBdr>
    </w:div>
    <w:div w:id="1105921541">
      <w:bodyDiv w:val="1"/>
      <w:marLeft w:val="0"/>
      <w:marRight w:val="0"/>
      <w:marTop w:val="0"/>
      <w:marBottom w:val="0"/>
      <w:divBdr>
        <w:top w:val="none" w:sz="0" w:space="0" w:color="auto"/>
        <w:left w:val="none" w:sz="0" w:space="0" w:color="auto"/>
        <w:bottom w:val="none" w:sz="0" w:space="0" w:color="auto"/>
        <w:right w:val="none" w:sz="0" w:space="0" w:color="auto"/>
      </w:divBdr>
      <w:divsChild>
        <w:div w:id="310137602">
          <w:blockQuote w:val="1"/>
          <w:marLeft w:val="0"/>
          <w:marRight w:val="0"/>
          <w:marTop w:val="210"/>
          <w:marBottom w:val="210"/>
          <w:divBdr>
            <w:top w:val="single" w:sz="12" w:space="11" w:color="2980B9"/>
            <w:left w:val="single" w:sz="12" w:space="14" w:color="2980B9"/>
            <w:bottom w:val="single" w:sz="12" w:space="11" w:color="2980B9"/>
            <w:right w:val="single" w:sz="12" w:space="15" w:color="2980B9"/>
          </w:divBdr>
        </w:div>
        <w:div w:id="498885129">
          <w:marLeft w:val="0"/>
          <w:marRight w:val="0"/>
          <w:marTop w:val="0"/>
          <w:marBottom w:val="240"/>
          <w:divBdr>
            <w:top w:val="single" w:sz="6" w:space="8" w:color="AAAAAA"/>
            <w:left w:val="single" w:sz="6" w:space="8" w:color="AAAAAA"/>
            <w:bottom w:val="single" w:sz="6" w:space="8" w:color="AAAAAA"/>
            <w:right w:val="single" w:sz="6" w:space="8" w:color="AAAAAA"/>
          </w:divBdr>
        </w:div>
        <w:div w:id="165901085">
          <w:marLeft w:val="0"/>
          <w:marRight w:val="0"/>
          <w:marTop w:val="0"/>
          <w:marBottom w:val="0"/>
          <w:divBdr>
            <w:top w:val="none" w:sz="0" w:space="0" w:color="auto"/>
            <w:left w:val="none" w:sz="0" w:space="0" w:color="auto"/>
            <w:bottom w:val="none" w:sz="0" w:space="0" w:color="auto"/>
            <w:right w:val="none" w:sz="0" w:space="0" w:color="auto"/>
          </w:divBdr>
        </w:div>
        <w:div w:id="952905931">
          <w:blockQuote w:val="1"/>
          <w:marLeft w:val="0"/>
          <w:marRight w:val="0"/>
          <w:marTop w:val="210"/>
          <w:marBottom w:val="210"/>
          <w:divBdr>
            <w:top w:val="single" w:sz="12" w:space="11" w:color="2980B9"/>
            <w:left w:val="single" w:sz="12" w:space="14" w:color="2980B9"/>
            <w:bottom w:val="single" w:sz="12" w:space="11" w:color="2980B9"/>
            <w:right w:val="single" w:sz="12" w:space="15" w:color="2980B9"/>
          </w:divBdr>
        </w:div>
        <w:div w:id="668992051">
          <w:marLeft w:val="0"/>
          <w:marRight w:val="0"/>
          <w:marTop w:val="0"/>
          <w:marBottom w:val="0"/>
          <w:divBdr>
            <w:top w:val="none" w:sz="0" w:space="0" w:color="auto"/>
            <w:left w:val="none" w:sz="0" w:space="0" w:color="auto"/>
            <w:bottom w:val="none" w:sz="0" w:space="0" w:color="auto"/>
            <w:right w:val="none" w:sz="0" w:space="0" w:color="auto"/>
          </w:divBdr>
        </w:div>
        <w:div w:id="1208563963">
          <w:blockQuote w:val="1"/>
          <w:marLeft w:val="0"/>
          <w:marRight w:val="0"/>
          <w:marTop w:val="210"/>
          <w:marBottom w:val="210"/>
          <w:divBdr>
            <w:top w:val="single" w:sz="12" w:space="11" w:color="2980B9"/>
            <w:left w:val="single" w:sz="12" w:space="14" w:color="2980B9"/>
            <w:bottom w:val="single" w:sz="12" w:space="11" w:color="2980B9"/>
            <w:right w:val="single" w:sz="12" w:space="15" w:color="2980B9"/>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1561</Words>
  <Characters>8898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000000</cp:lastModifiedBy>
  <cp:revision>3</cp:revision>
  <cp:lastPrinted>2019-10-16T20:34:00Z</cp:lastPrinted>
  <dcterms:created xsi:type="dcterms:W3CDTF">2020-03-03T20:28:00Z</dcterms:created>
  <dcterms:modified xsi:type="dcterms:W3CDTF">2021-01-16T10:26:00Z</dcterms:modified>
</cp:coreProperties>
</file>